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414" w:rsidRPr="00776BB4" w:rsidRDefault="004E6FC2" w:rsidP="00776BB4">
      <w:pPr>
        <w:jc w:val="center"/>
        <w:rPr>
          <w:rFonts w:ascii="Arial" w:hAnsi="Arial" w:cs="Arial"/>
          <w:b/>
          <w:sz w:val="40"/>
        </w:rPr>
      </w:pPr>
      <w:r w:rsidRPr="00776BB4">
        <w:rPr>
          <w:rFonts w:ascii="Arial" w:hAnsi="Arial" w:cs="Arial"/>
          <w:b/>
          <w:sz w:val="40"/>
        </w:rPr>
        <w:t>Talking About Donation</w:t>
      </w:r>
    </w:p>
    <w:p w:rsidR="004E6FC2" w:rsidRPr="00776BB4" w:rsidRDefault="004E6FC2">
      <w:pPr>
        <w:rPr>
          <w:rFonts w:ascii="Arial" w:hAnsi="Arial" w:cs="Arial"/>
          <w:sz w:val="24"/>
        </w:rPr>
      </w:pPr>
      <w:r w:rsidRPr="00776BB4">
        <w:rPr>
          <w:rFonts w:ascii="Arial" w:hAnsi="Arial" w:cs="Arial"/>
          <w:sz w:val="24"/>
        </w:rPr>
        <w:t>Language plays an important role in the misconceptions and fears about organ, eye, and tissue donation. When talking about donation, it is important to consider how the general public may perceive certain language. Please be cautious of the following terminology when discussing donation wit</w:t>
      </w:r>
      <w:r w:rsidR="000410F2">
        <w:rPr>
          <w:rFonts w:ascii="Arial" w:hAnsi="Arial" w:cs="Arial"/>
          <w:sz w:val="24"/>
        </w:rPr>
        <w:t>h family, friends, and community members</w:t>
      </w:r>
      <w:r w:rsidRPr="00776BB4">
        <w:rPr>
          <w:rFonts w:ascii="Arial" w:hAnsi="Arial" w:cs="Arial"/>
          <w:sz w:val="24"/>
        </w:rPr>
        <w:t>.</w:t>
      </w:r>
    </w:p>
    <w:tbl>
      <w:tblPr>
        <w:tblStyle w:val="TableGrid"/>
        <w:tblW w:w="0" w:type="auto"/>
        <w:jc w:val="center"/>
        <w:tblCellMar>
          <w:top w:w="144" w:type="dxa"/>
          <w:left w:w="144" w:type="dxa"/>
          <w:bottom w:w="144" w:type="dxa"/>
          <w:right w:w="144" w:type="dxa"/>
        </w:tblCellMar>
        <w:tblLook w:val="04A0" w:firstRow="1" w:lastRow="0" w:firstColumn="1" w:lastColumn="0" w:noHBand="0" w:noVBand="1"/>
      </w:tblPr>
      <w:tblGrid>
        <w:gridCol w:w="4788"/>
        <w:gridCol w:w="4788"/>
      </w:tblGrid>
      <w:tr w:rsidR="00D45D8C" w:rsidRPr="00776BB4" w:rsidTr="000410F2">
        <w:trPr>
          <w:jc w:val="center"/>
        </w:trPr>
        <w:tc>
          <w:tcPr>
            <w:tcW w:w="4788" w:type="dxa"/>
            <w:tcBorders>
              <w:top w:val="nil"/>
              <w:left w:val="nil"/>
              <w:bottom w:val="nil"/>
              <w:right w:val="nil"/>
            </w:tcBorders>
          </w:tcPr>
          <w:p w:rsidR="00D45D8C" w:rsidRPr="00776BB4" w:rsidRDefault="000410F2" w:rsidP="00776BB4">
            <w:pPr>
              <w:jc w:val="center"/>
              <w:rPr>
                <w:rFonts w:ascii="Arial" w:hAnsi="Arial" w:cs="Arial"/>
                <w:b/>
                <w:sz w:val="36"/>
                <w:szCs w:val="24"/>
                <w:u w:val="single"/>
              </w:rPr>
            </w:pPr>
            <w:r>
              <w:rPr>
                <w:rFonts w:ascii="Arial" w:hAnsi="Arial" w:cs="Arial"/>
                <w:b/>
                <w:sz w:val="36"/>
                <w:szCs w:val="24"/>
                <w:u w:val="single"/>
              </w:rPr>
              <w:t>Please U</w:t>
            </w:r>
            <w:r w:rsidR="009D3BDA" w:rsidRPr="00776BB4">
              <w:rPr>
                <w:rFonts w:ascii="Arial" w:hAnsi="Arial" w:cs="Arial"/>
                <w:b/>
                <w:sz w:val="36"/>
                <w:szCs w:val="24"/>
                <w:u w:val="single"/>
              </w:rPr>
              <w:t>se…</w:t>
            </w:r>
          </w:p>
        </w:tc>
        <w:tc>
          <w:tcPr>
            <w:tcW w:w="4788" w:type="dxa"/>
            <w:tcBorders>
              <w:top w:val="nil"/>
              <w:left w:val="nil"/>
              <w:bottom w:val="nil"/>
              <w:right w:val="nil"/>
            </w:tcBorders>
          </w:tcPr>
          <w:p w:rsidR="00D45D8C" w:rsidRPr="00776BB4" w:rsidRDefault="009D3BDA" w:rsidP="00776BB4">
            <w:pPr>
              <w:jc w:val="center"/>
              <w:rPr>
                <w:rFonts w:ascii="Arial" w:hAnsi="Arial" w:cs="Arial"/>
                <w:b/>
                <w:sz w:val="36"/>
                <w:szCs w:val="24"/>
                <w:u w:val="single"/>
              </w:rPr>
            </w:pPr>
            <w:r w:rsidRPr="00776BB4">
              <w:rPr>
                <w:rFonts w:ascii="Arial" w:hAnsi="Arial" w:cs="Arial"/>
                <w:b/>
                <w:sz w:val="36"/>
                <w:szCs w:val="24"/>
                <w:u w:val="single"/>
              </w:rPr>
              <w:t>Instead of…</w:t>
            </w:r>
          </w:p>
        </w:tc>
      </w:tr>
      <w:tr w:rsidR="00D45D8C" w:rsidRPr="00776BB4" w:rsidTr="000410F2">
        <w:trPr>
          <w:jc w:val="center"/>
        </w:trPr>
        <w:tc>
          <w:tcPr>
            <w:tcW w:w="4788" w:type="dxa"/>
            <w:tcBorders>
              <w:top w:val="nil"/>
              <w:left w:val="nil"/>
              <w:bottom w:val="nil"/>
              <w:right w:val="nil"/>
            </w:tcBorders>
          </w:tcPr>
          <w:p w:rsidR="00D45D8C" w:rsidRPr="00776BB4" w:rsidRDefault="000410F2" w:rsidP="00776BB4">
            <w:pPr>
              <w:jc w:val="center"/>
              <w:rPr>
                <w:rFonts w:ascii="Arial" w:hAnsi="Arial" w:cs="Arial"/>
                <w:b/>
                <w:sz w:val="28"/>
                <w:szCs w:val="24"/>
              </w:rPr>
            </w:pPr>
            <w:r>
              <w:rPr>
                <w:rFonts w:ascii="Arial" w:hAnsi="Arial" w:cs="Arial"/>
                <w:b/>
                <w:sz w:val="28"/>
                <w:szCs w:val="24"/>
              </w:rPr>
              <w:t>“Recover” O</w:t>
            </w:r>
            <w:r w:rsidR="009D3BDA" w:rsidRPr="00776BB4">
              <w:rPr>
                <w:rFonts w:ascii="Arial" w:hAnsi="Arial" w:cs="Arial"/>
                <w:b/>
                <w:sz w:val="28"/>
                <w:szCs w:val="24"/>
              </w:rPr>
              <w:t>rgans</w:t>
            </w:r>
          </w:p>
        </w:tc>
        <w:tc>
          <w:tcPr>
            <w:tcW w:w="4788" w:type="dxa"/>
            <w:tcBorders>
              <w:top w:val="nil"/>
              <w:left w:val="nil"/>
              <w:bottom w:val="nil"/>
              <w:right w:val="nil"/>
            </w:tcBorders>
          </w:tcPr>
          <w:p w:rsidR="00D45D8C" w:rsidRPr="00776BB4" w:rsidRDefault="000410F2" w:rsidP="00776BB4">
            <w:pPr>
              <w:jc w:val="center"/>
              <w:rPr>
                <w:rFonts w:ascii="Arial" w:hAnsi="Arial" w:cs="Arial"/>
                <w:b/>
                <w:sz w:val="28"/>
                <w:szCs w:val="24"/>
              </w:rPr>
            </w:pPr>
            <w:r>
              <w:rPr>
                <w:rFonts w:ascii="Arial" w:hAnsi="Arial" w:cs="Arial"/>
                <w:b/>
                <w:sz w:val="28"/>
                <w:szCs w:val="24"/>
              </w:rPr>
              <w:t>“H</w:t>
            </w:r>
            <w:r w:rsidR="009D3BDA" w:rsidRPr="00776BB4">
              <w:rPr>
                <w:rFonts w:ascii="Arial" w:hAnsi="Arial" w:cs="Arial"/>
                <w:b/>
                <w:sz w:val="28"/>
                <w:szCs w:val="24"/>
              </w:rPr>
              <w:t>arvesting”</w:t>
            </w:r>
            <w:r>
              <w:rPr>
                <w:rFonts w:ascii="Arial" w:hAnsi="Arial" w:cs="Arial"/>
                <w:b/>
                <w:sz w:val="28"/>
                <w:szCs w:val="24"/>
              </w:rPr>
              <w:t xml:space="preserve"> Organs</w:t>
            </w:r>
          </w:p>
        </w:tc>
      </w:tr>
      <w:tr w:rsidR="009D3BDA" w:rsidRPr="00776BB4" w:rsidTr="000410F2">
        <w:trPr>
          <w:trHeight w:val="1368"/>
          <w:jc w:val="center"/>
        </w:trPr>
        <w:tc>
          <w:tcPr>
            <w:tcW w:w="9576" w:type="dxa"/>
            <w:gridSpan w:val="2"/>
            <w:tcBorders>
              <w:top w:val="nil"/>
              <w:left w:val="nil"/>
              <w:bottom w:val="nil"/>
              <w:right w:val="nil"/>
            </w:tcBorders>
          </w:tcPr>
          <w:p w:rsidR="009D3BDA" w:rsidRPr="00776BB4" w:rsidRDefault="00A447BE" w:rsidP="00776BB4">
            <w:pPr>
              <w:jc w:val="center"/>
              <w:rPr>
                <w:rFonts w:ascii="Arial" w:hAnsi="Arial" w:cs="Arial"/>
                <w:sz w:val="24"/>
                <w:szCs w:val="24"/>
              </w:rPr>
            </w:pPr>
            <w:r w:rsidRPr="00776BB4">
              <w:rPr>
                <w:rFonts w:ascii="Arial" w:hAnsi="Arial" w:cs="Arial"/>
                <w:sz w:val="24"/>
                <w:szCs w:val="24"/>
              </w:rPr>
              <w:t>“Harvest” is a word that has long been used by the medical community. However, it can be quite unpalatable, especially to donor families when as</w:t>
            </w:r>
            <w:r w:rsidR="000410F2">
              <w:rPr>
                <w:rFonts w:ascii="Arial" w:hAnsi="Arial" w:cs="Arial"/>
                <w:sz w:val="24"/>
                <w:szCs w:val="24"/>
              </w:rPr>
              <w:t xml:space="preserve">sociated with their loved ones. </w:t>
            </w:r>
            <w:r w:rsidRPr="00776BB4">
              <w:rPr>
                <w:rFonts w:ascii="Arial" w:hAnsi="Arial" w:cs="Arial"/>
                <w:sz w:val="24"/>
                <w:szCs w:val="24"/>
              </w:rPr>
              <w:t>The word “recovery” helps people understand that removal of a loved one’s organs and tissues for transplant is a respectable procedure.</w:t>
            </w:r>
          </w:p>
        </w:tc>
      </w:tr>
      <w:tr w:rsidR="00D45D8C" w:rsidRPr="00776BB4" w:rsidTr="000410F2">
        <w:trPr>
          <w:jc w:val="center"/>
        </w:trPr>
        <w:tc>
          <w:tcPr>
            <w:tcW w:w="4788" w:type="dxa"/>
            <w:tcBorders>
              <w:top w:val="nil"/>
              <w:left w:val="nil"/>
              <w:bottom w:val="nil"/>
              <w:right w:val="nil"/>
            </w:tcBorders>
          </w:tcPr>
          <w:p w:rsidR="00D45D8C" w:rsidRPr="00776BB4" w:rsidRDefault="009D3BDA" w:rsidP="00776BB4">
            <w:pPr>
              <w:jc w:val="center"/>
              <w:rPr>
                <w:rFonts w:ascii="Arial" w:hAnsi="Arial" w:cs="Arial"/>
                <w:b/>
                <w:sz w:val="28"/>
                <w:szCs w:val="24"/>
              </w:rPr>
            </w:pPr>
            <w:r w:rsidRPr="00776BB4">
              <w:rPr>
                <w:rFonts w:ascii="Arial" w:hAnsi="Arial" w:cs="Arial"/>
                <w:b/>
                <w:sz w:val="28"/>
                <w:szCs w:val="24"/>
              </w:rPr>
              <w:t>“Deceased Donor”</w:t>
            </w:r>
          </w:p>
        </w:tc>
        <w:tc>
          <w:tcPr>
            <w:tcW w:w="4788" w:type="dxa"/>
            <w:tcBorders>
              <w:top w:val="nil"/>
              <w:left w:val="nil"/>
              <w:bottom w:val="nil"/>
              <w:right w:val="nil"/>
            </w:tcBorders>
          </w:tcPr>
          <w:p w:rsidR="00D45D8C" w:rsidRPr="00776BB4" w:rsidRDefault="009D3BDA" w:rsidP="00776BB4">
            <w:pPr>
              <w:jc w:val="center"/>
              <w:rPr>
                <w:rFonts w:ascii="Arial" w:hAnsi="Arial" w:cs="Arial"/>
                <w:b/>
                <w:sz w:val="28"/>
                <w:szCs w:val="24"/>
              </w:rPr>
            </w:pPr>
            <w:r w:rsidRPr="00776BB4">
              <w:rPr>
                <w:rFonts w:ascii="Arial" w:hAnsi="Arial" w:cs="Arial"/>
                <w:b/>
                <w:sz w:val="28"/>
                <w:szCs w:val="24"/>
              </w:rPr>
              <w:t>“Cadaver”</w:t>
            </w:r>
          </w:p>
        </w:tc>
      </w:tr>
      <w:tr w:rsidR="009D3BDA" w:rsidRPr="00776BB4" w:rsidTr="000410F2">
        <w:trPr>
          <w:trHeight w:val="1899"/>
          <w:jc w:val="center"/>
        </w:trPr>
        <w:tc>
          <w:tcPr>
            <w:tcW w:w="9576" w:type="dxa"/>
            <w:gridSpan w:val="2"/>
            <w:tcBorders>
              <w:top w:val="nil"/>
              <w:left w:val="nil"/>
              <w:bottom w:val="nil"/>
              <w:right w:val="nil"/>
            </w:tcBorders>
          </w:tcPr>
          <w:p w:rsidR="009D3BDA" w:rsidRPr="00776BB4" w:rsidRDefault="00A447BE" w:rsidP="00776BB4">
            <w:pPr>
              <w:jc w:val="center"/>
              <w:rPr>
                <w:rFonts w:ascii="Arial" w:hAnsi="Arial" w:cs="Arial"/>
                <w:sz w:val="24"/>
                <w:szCs w:val="24"/>
              </w:rPr>
            </w:pPr>
            <w:r w:rsidRPr="00776BB4">
              <w:rPr>
                <w:rFonts w:ascii="Arial" w:hAnsi="Arial" w:cs="Arial"/>
                <w:sz w:val="24"/>
                <w:szCs w:val="24"/>
              </w:rPr>
              <w:t xml:space="preserve">Today, as more people choose to become living donors, there is a need to distinguish between living and deceased donors. Reportedly, the term </w:t>
            </w:r>
            <w:r w:rsidRPr="000410F2">
              <w:rPr>
                <w:rFonts w:ascii="Arial" w:hAnsi="Arial" w:cs="Arial"/>
                <w:i/>
                <w:sz w:val="24"/>
                <w:szCs w:val="24"/>
              </w:rPr>
              <w:t xml:space="preserve">cadaveric </w:t>
            </w:r>
            <w:r w:rsidRPr="00776BB4">
              <w:rPr>
                <w:rFonts w:ascii="Arial" w:hAnsi="Arial" w:cs="Arial"/>
                <w:sz w:val="24"/>
                <w:szCs w:val="24"/>
              </w:rPr>
              <w:t>depersonalizes the fact that a gift was offered to someone upon an individual’s death. The word cadaver is defined as “dead bodies intended for dissection.” This does not display the honor and respect we give to all individuals who have courageously chosen to give the gift of life.</w:t>
            </w:r>
          </w:p>
        </w:tc>
      </w:tr>
      <w:tr w:rsidR="00D45D8C" w:rsidRPr="00776BB4" w:rsidTr="000410F2">
        <w:trPr>
          <w:jc w:val="center"/>
        </w:trPr>
        <w:tc>
          <w:tcPr>
            <w:tcW w:w="4788" w:type="dxa"/>
            <w:tcBorders>
              <w:top w:val="nil"/>
              <w:left w:val="nil"/>
              <w:bottom w:val="nil"/>
              <w:right w:val="nil"/>
            </w:tcBorders>
          </w:tcPr>
          <w:p w:rsidR="00D45D8C" w:rsidRPr="00776BB4" w:rsidRDefault="000410F2" w:rsidP="00776BB4">
            <w:pPr>
              <w:jc w:val="center"/>
              <w:rPr>
                <w:rFonts w:ascii="Arial" w:hAnsi="Arial" w:cs="Arial"/>
                <w:b/>
                <w:sz w:val="28"/>
                <w:szCs w:val="24"/>
              </w:rPr>
            </w:pPr>
            <w:r>
              <w:rPr>
                <w:rFonts w:ascii="Arial" w:hAnsi="Arial" w:cs="Arial"/>
                <w:b/>
                <w:sz w:val="28"/>
                <w:szCs w:val="24"/>
              </w:rPr>
              <w:t>“Ventilated S</w:t>
            </w:r>
            <w:r w:rsidR="009D3BDA" w:rsidRPr="00776BB4">
              <w:rPr>
                <w:rFonts w:ascii="Arial" w:hAnsi="Arial" w:cs="Arial"/>
                <w:b/>
                <w:sz w:val="28"/>
                <w:szCs w:val="24"/>
              </w:rPr>
              <w:t>upport”</w:t>
            </w:r>
          </w:p>
        </w:tc>
        <w:tc>
          <w:tcPr>
            <w:tcW w:w="4788" w:type="dxa"/>
            <w:tcBorders>
              <w:top w:val="nil"/>
              <w:left w:val="nil"/>
              <w:bottom w:val="nil"/>
              <w:right w:val="nil"/>
            </w:tcBorders>
          </w:tcPr>
          <w:p w:rsidR="00D45D8C" w:rsidRPr="00776BB4" w:rsidRDefault="000410F2" w:rsidP="00776BB4">
            <w:pPr>
              <w:jc w:val="center"/>
              <w:rPr>
                <w:rFonts w:ascii="Arial" w:hAnsi="Arial" w:cs="Arial"/>
                <w:b/>
                <w:sz w:val="28"/>
                <w:szCs w:val="24"/>
              </w:rPr>
            </w:pPr>
            <w:r>
              <w:rPr>
                <w:rFonts w:ascii="Arial" w:hAnsi="Arial" w:cs="Arial"/>
                <w:b/>
                <w:sz w:val="28"/>
                <w:szCs w:val="24"/>
              </w:rPr>
              <w:t>“Life S</w:t>
            </w:r>
            <w:r w:rsidR="009D3BDA" w:rsidRPr="00776BB4">
              <w:rPr>
                <w:rFonts w:ascii="Arial" w:hAnsi="Arial" w:cs="Arial"/>
                <w:b/>
                <w:sz w:val="28"/>
                <w:szCs w:val="24"/>
              </w:rPr>
              <w:t>upport”</w:t>
            </w:r>
          </w:p>
        </w:tc>
      </w:tr>
      <w:tr w:rsidR="009D3BDA" w:rsidRPr="00776BB4" w:rsidTr="000410F2">
        <w:trPr>
          <w:trHeight w:val="1881"/>
          <w:jc w:val="center"/>
        </w:trPr>
        <w:tc>
          <w:tcPr>
            <w:tcW w:w="9576" w:type="dxa"/>
            <w:gridSpan w:val="2"/>
            <w:tcBorders>
              <w:top w:val="nil"/>
              <w:left w:val="nil"/>
              <w:bottom w:val="nil"/>
              <w:right w:val="nil"/>
            </w:tcBorders>
          </w:tcPr>
          <w:p w:rsidR="009D3BDA" w:rsidRPr="00776BB4" w:rsidRDefault="00A447BE" w:rsidP="002936DA">
            <w:pPr>
              <w:jc w:val="center"/>
              <w:rPr>
                <w:rFonts w:ascii="Arial" w:hAnsi="Arial" w:cs="Arial"/>
                <w:sz w:val="24"/>
                <w:szCs w:val="24"/>
              </w:rPr>
            </w:pPr>
            <w:r w:rsidRPr="00776BB4">
              <w:rPr>
                <w:rFonts w:ascii="Arial" w:hAnsi="Arial" w:cs="Arial"/>
                <w:sz w:val="24"/>
                <w:szCs w:val="24"/>
              </w:rPr>
              <w:t xml:space="preserve">There are two ways to determine death: cardiac death (when the heart stops functioning) and brain death </w:t>
            </w:r>
            <w:r w:rsidR="002936DA">
              <w:rPr>
                <w:rFonts w:ascii="Arial" w:hAnsi="Arial" w:cs="Arial"/>
                <w:sz w:val="24"/>
                <w:szCs w:val="24"/>
              </w:rPr>
              <w:t>(</w:t>
            </w:r>
            <w:r w:rsidRPr="00776BB4">
              <w:rPr>
                <w:rFonts w:ascii="Arial" w:hAnsi="Arial" w:cs="Arial"/>
                <w:sz w:val="24"/>
                <w:szCs w:val="24"/>
              </w:rPr>
              <w:t xml:space="preserve">when the brain stops functioning). The term “life support” proves to be a confusing term when used in </w:t>
            </w:r>
            <w:r w:rsidR="002936DA" w:rsidRPr="00776BB4">
              <w:rPr>
                <w:rFonts w:ascii="Arial" w:hAnsi="Arial" w:cs="Arial"/>
                <w:sz w:val="24"/>
                <w:szCs w:val="24"/>
              </w:rPr>
              <w:t>conjunction</w:t>
            </w:r>
            <w:r w:rsidRPr="00776BB4">
              <w:rPr>
                <w:rFonts w:ascii="Arial" w:hAnsi="Arial" w:cs="Arial"/>
                <w:sz w:val="24"/>
                <w:szCs w:val="24"/>
              </w:rPr>
              <w:t xml:space="preserve"> with brain death. When death occurs, there is no support that can make the individual live again. The terms ‘mechanical’ or ‘ventilated support’ are appropriate for the support given to a deceased person in the event of organ, eye, and tissue do</w:t>
            </w:r>
            <w:bookmarkStart w:id="0" w:name="_GoBack"/>
            <w:bookmarkEnd w:id="0"/>
            <w:r w:rsidRPr="00776BB4">
              <w:rPr>
                <w:rFonts w:ascii="Arial" w:hAnsi="Arial" w:cs="Arial"/>
                <w:sz w:val="24"/>
                <w:szCs w:val="24"/>
              </w:rPr>
              <w:t>nation.</w:t>
            </w:r>
          </w:p>
        </w:tc>
      </w:tr>
      <w:tr w:rsidR="00D45D8C" w:rsidRPr="00776BB4" w:rsidTr="000410F2">
        <w:trPr>
          <w:jc w:val="center"/>
        </w:trPr>
        <w:tc>
          <w:tcPr>
            <w:tcW w:w="4788" w:type="dxa"/>
            <w:tcBorders>
              <w:top w:val="nil"/>
              <w:left w:val="nil"/>
              <w:bottom w:val="nil"/>
              <w:right w:val="nil"/>
            </w:tcBorders>
          </w:tcPr>
          <w:p w:rsidR="00D45D8C" w:rsidRPr="00776BB4" w:rsidRDefault="000410F2" w:rsidP="00776BB4">
            <w:pPr>
              <w:jc w:val="center"/>
              <w:rPr>
                <w:rFonts w:ascii="Arial" w:hAnsi="Arial" w:cs="Arial"/>
                <w:b/>
                <w:sz w:val="28"/>
                <w:szCs w:val="24"/>
              </w:rPr>
            </w:pPr>
            <w:r>
              <w:rPr>
                <w:rFonts w:ascii="Arial" w:hAnsi="Arial" w:cs="Arial"/>
                <w:b/>
                <w:sz w:val="28"/>
                <w:szCs w:val="24"/>
              </w:rPr>
              <w:t>Donate “Organs &amp; T</w:t>
            </w:r>
            <w:r w:rsidR="009D3BDA" w:rsidRPr="00776BB4">
              <w:rPr>
                <w:rFonts w:ascii="Arial" w:hAnsi="Arial" w:cs="Arial"/>
                <w:b/>
                <w:sz w:val="28"/>
                <w:szCs w:val="24"/>
              </w:rPr>
              <w:t>issues”</w:t>
            </w:r>
          </w:p>
        </w:tc>
        <w:tc>
          <w:tcPr>
            <w:tcW w:w="4788" w:type="dxa"/>
            <w:tcBorders>
              <w:top w:val="nil"/>
              <w:left w:val="nil"/>
              <w:bottom w:val="nil"/>
              <w:right w:val="nil"/>
            </w:tcBorders>
          </w:tcPr>
          <w:p w:rsidR="00D45D8C" w:rsidRPr="00776BB4" w:rsidRDefault="000410F2" w:rsidP="00776BB4">
            <w:pPr>
              <w:jc w:val="center"/>
              <w:rPr>
                <w:rFonts w:ascii="Arial" w:hAnsi="Arial" w:cs="Arial"/>
                <w:b/>
                <w:sz w:val="28"/>
                <w:szCs w:val="24"/>
              </w:rPr>
            </w:pPr>
            <w:r>
              <w:rPr>
                <w:rFonts w:ascii="Arial" w:hAnsi="Arial" w:cs="Arial"/>
                <w:b/>
                <w:sz w:val="28"/>
                <w:szCs w:val="24"/>
              </w:rPr>
              <w:t>Donate “Body P</w:t>
            </w:r>
            <w:r w:rsidR="009D3BDA" w:rsidRPr="00776BB4">
              <w:rPr>
                <w:rFonts w:ascii="Arial" w:hAnsi="Arial" w:cs="Arial"/>
                <w:b/>
                <w:sz w:val="28"/>
                <w:szCs w:val="24"/>
              </w:rPr>
              <w:t>arts”</w:t>
            </w:r>
          </w:p>
        </w:tc>
      </w:tr>
      <w:tr w:rsidR="009D3BDA" w:rsidRPr="00776BB4" w:rsidTr="000410F2">
        <w:trPr>
          <w:jc w:val="center"/>
        </w:trPr>
        <w:tc>
          <w:tcPr>
            <w:tcW w:w="9576" w:type="dxa"/>
            <w:gridSpan w:val="2"/>
            <w:tcBorders>
              <w:top w:val="nil"/>
              <w:left w:val="nil"/>
              <w:bottom w:val="nil"/>
              <w:right w:val="nil"/>
            </w:tcBorders>
          </w:tcPr>
          <w:p w:rsidR="009D3BDA" w:rsidRPr="00776BB4" w:rsidRDefault="005C3EB7" w:rsidP="00776BB4">
            <w:pPr>
              <w:jc w:val="center"/>
              <w:rPr>
                <w:rFonts w:ascii="Arial" w:hAnsi="Arial" w:cs="Arial"/>
                <w:sz w:val="24"/>
                <w:szCs w:val="24"/>
              </w:rPr>
            </w:pPr>
            <w:r w:rsidRPr="00776BB4">
              <w:rPr>
                <w:rFonts w:ascii="Arial" w:hAnsi="Arial" w:cs="Arial"/>
                <w:sz w:val="24"/>
                <w:szCs w:val="24"/>
              </w:rPr>
              <w:t>Using the term</w:t>
            </w:r>
            <w:r w:rsidR="00A447BE" w:rsidRPr="00776BB4">
              <w:rPr>
                <w:rFonts w:ascii="Arial" w:hAnsi="Arial" w:cs="Arial"/>
                <w:sz w:val="24"/>
                <w:szCs w:val="24"/>
              </w:rPr>
              <w:t xml:space="preserve"> donated organs and tissues again respect</w:t>
            </w:r>
            <w:r w:rsidRPr="00776BB4">
              <w:rPr>
                <w:rFonts w:ascii="Arial" w:hAnsi="Arial" w:cs="Arial"/>
                <w:sz w:val="24"/>
                <w:szCs w:val="24"/>
              </w:rPr>
              <w:t>s</w:t>
            </w:r>
            <w:r w:rsidR="00A447BE" w:rsidRPr="00776BB4">
              <w:rPr>
                <w:rFonts w:ascii="Arial" w:hAnsi="Arial" w:cs="Arial"/>
                <w:sz w:val="24"/>
                <w:szCs w:val="24"/>
              </w:rPr>
              <w:t xml:space="preserve"> the fact that a person is giving a tremendous gift by donating their organs and tissues, as opposed to using the term “body parts</w:t>
            </w:r>
            <w:r w:rsidRPr="00776BB4">
              <w:rPr>
                <w:rFonts w:ascii="Arial" w:hAnsi="Arial" w:cs="Arial"/>
                <w:sz w:val="24"/>
                <w:szCs w:val="24"/>
              </w:rPr>
              <w:t>” which may imply that a donor is just being used for their “parts” as one might do to a defective car.</w:t>
            </w:r>
          </w:p>
        </w:tc>
      </w:tr>
    </w:tbl>
    <w:p w:rsidR="00D45D8C" w:rsidRDefault="00D45D8C" w:rsidP="00776BB4"/>
    <w:sectPr w:rsidR="00D45D8C" w:rsidSect="00981B2C">
      <w:footerReference w:type="default" r:id="rId7"/>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B2C" w:rsidRDefault="00981B2C" w:rsidP="00981B2C">
      <w:pPr>
        <w:spacing w:after="0" w:line="240" w:lineRule="auto"/>
      </w:pPr>
      <w:r>
        <w:separator/>
      </w:r>
    </w:p>
  </w:endnote>
  <w:endnote w:type="continuationSeparator" w:id="0">
    <w:p w:rsidR="00981B2C" w:rsidRDefault="00981B2C" w:rsidP="00981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293" w:rsidRPr="00402293" w:rsidRDefault="00402293" w:rsidP="00402293">
    <w:pPr>
      <w:pStyle w:val="Footer"/>
      <w:jc w:val="right"/>
      <w:rPr>
        <w:rFonts w:ascii="Arial" w:hAnsi="Arial" w:cs="Arial"/>
        <w:sz w:val="16"/>
        <w:szCs w:val="16"/>
      </w:rPr>
    </w:pPr>
    <w:r w:rsidRPr="00402293">
      <w:rPr>
        <w:rFonts w:ascii="Arial" w:hAnsi="Arial" w:cs="Arial"/>
        <w:sz w:val="16"/>
        <w:szCs w:val="16"/>
      </w:rPr>
      <w:t>Last Updated by Katrina 1/6/20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B2C" w:rsidRDefault="00981B2C" w:rsidP="00981B2C">
      <w:pPr>
        <w:spacing w:after="0" w:line="240" w:lineRule="auto"/>
      </w:pPr>
      <w:r>
        <w:separator/>
      </w:r>
    </w:p>
  </w:footnote>
  <w:footnote w:type="continuationSeparator" w:id="0">
    <w:p w:rsidR="00981B2C" w:rsidRDefault="00981B2C" w:rsidP="00981B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FC2"/>
    <w:rsid w:val="00015414"/>
    <w:rsid w:val="000410F2"/>
    <w:rsid w:val="002936DA"/>
    <w:rsid w:val="00402293"/>
    <w:rsid w:val="004E6FC2"/>
    <w:rsid w:val="005C3EB7"/>
    <w:rsid w:val="00776BB4"/>
    <w:rsid w:val="00981B2C"/>
    <w:rsid w:val="009D3BDA"/>
    <w:rsid w:val="00A447BE"/>
    <w:rsid w:val="00D45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20E32"/>
  <w15:docId w15:val="{ADEEEAD4-2346-4C97-A9EE-A8D3F171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5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1B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1B2C"/>
  </w:style>
  <w:style w:type="paragraph" w:styleId="Footer">
    <w:name w:val="footer"/>
    <w:basedOn w:val="Normal"/>
    <w:link w:val="FooterChar"/>
    <w:uiPriority w:val="99"/>
    <w:unhideWhenUsed/>
    <w:rsid w:val="00981B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1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5738B-BACF-4DF0-960D-C5AE27B52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Marissa Mark</dc:creator>
  <cp:lastModifiedBy>Katrina Liukko</cp:lastModifiedBy>
  <cp:revision>3</cp:revision>
  <cp:lastPrinted>2017-09-13T22:54:00Z</cp:lastPrinted>
  <dcterms:created xsi:type="dcterms:W3CDTF">2017-09-13T23:01:00Z</dcterms:created>
  <dcterms:modified xsi:type="dcterms:W3CDTF">2021-01-06T19:42:00Z</dcterms:modified>
</cp:coreProperties>
</file>